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3932C76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336D4A">
                              <w:rPr>
                                <w:b/>
                                <w:bCs/>
                                <w:color w:val="222A35" w:themeColor="text2" w:themeShade="80"/>
                                <w:sz w:val="28"/>
                                <w:szCs w:val="28"/>
                              </w:rPr>
                              <w:t>SANITAIRES ELEVES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3932C76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336D4A">
                        <w:rPr>
                          <w:b/>
                          <w:bCs/>
                          <w:color w:val="222A35" w:themeColor="text2" w:themeShade="80"/>
                          <w:sz w:val="28"/>
                          <w:szCs w:val="28"/>
                        </w:rPr>
                        <w:t>SANITAIRES ELEVES</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6F3CF934" w14:textId="77777777" w:rsidR="00336D4A" w:rsidRPr="001141BF" w:rsidRDefault="00336D4A" w:rsidP="00336D4A">
      <w:pPr>
        <w:rPr>
          <w:rFonts w:ascii="Verdana" w:eastAsia="Calibri" w:hAnsi="Verdana"/>
          <w:b/>
          <w:smallCaps/>
        </w:rPr>
      </w:pPr>
      <w:r w:rsidRPr="001141BF">
        <w:rPr>
          <w:rFonts w:ascii="Verdana" w:hAnsi="Verdana"/>
          <w:color w:val="000000" w:themeColor="text1"/>
          <w:sz w:val="20"/>
          <w:szCs w:val="20"/>
        </w:rPr>
        <w:t xml:space="preserve">Généralement en bloc sanitaire de plusieurs toilettes. Les blocs sont habituellement genrés (hommes séparés des femmes). </w:t>
      </w:r>
      <w:r w:rsidRPr="001141BF">
        <w:rPr>
          <w:rFonts w:ascii="Verdana" w:hAnsi="Verdana"/>
          <w:noProof/>
          <w:sz w:val="20"/>
          <w:szCs w:val="20"/>
        </w:rPr>
        <w:t>Une réflexion pourra être menée pour l’inclusion des élèves transgenre (</w:t>
      </w:r>
      <w:hyperlink r:id="rId7" w:history="1">
        <w:r w:rsidRPr="001141BF">
          <w:rPr>
            <w:rStyle w:val="Lienhypertexte"/>
            <w:rFonts w:ascii="Verdana" w:hAnsi="Verdana"/>
            <w:noProof/>
            <w:sz w:val="20"/>
            <w:szCs w:val="20"/>
          </w:rPr>
          <w:t>Plan d’actions pour l’égalisé des droits contr</w:t>
        </w:r>
        <w:r>
          <w:rPr>
            <w:rStyle w:val="Lienhypertexte"/>
            <w:rFonts w:ascii="Verdana" w:hAnsi="Verdana"/>
            <w:noProof/>
            <w:sz w:val="20"/>
            <w:szCs w:val="20"/>
          </w:rPr>
          <w:t>e</w:t>
        </w:r>
        <w:r w:rsidRPr="001141BF">
          <w:rPr>
            <w:rStyle w:val="Lienhypertexte"/>
            <w:rFonts w:ascii="Verdana" w:hAnsi="Verdana"/>
            <w:noProof/>
            <w:sz w:val="20"/>
            <w:szCs w:val="20"/>
          </w:rPr>
          <w:t xml:space="preserve"> la haine et les discriminations anti-LGBT 2020-2023</w:t>
        </w:r>
      </w:hyperlink>
      <w:r w:rsidRPr="001141BF">
        <w:rPr>
          <w:rFonts w:ascii="Verdana" w:hAnsi="Verdana"/>
          <w:noProof/>
          <w:sz w:val="20"/>
          <w:szCs w:val="20"/>
        </w:rPr>
        <w:t>)</w:t>
      </w:r>
    </w:p>
    <w:p w14:paraId="11313455" w14:textId="77777777" w:rsidR="00336D4A" w:rsidRDefault="00336D4A" w:rsidP="00336D4A">
      <w:pPr>
        <w:jc w:val="both"/>
        <w:rPr>
          <w:rFonts w:ascii="Verdana" w:hAnsi="Verdana"/>
          <w:color w:val="000000" w:themeColor="text1"/>
          <w:sz w:val="20"/>
          <w:szCs w:val="20"/>
        </w:rPr>
      </w:pPr>
      <w:r>
        <w:rPr>
          <w:rFonts w:ascii="Verdana" w:hAnsi="Verdana"/>
          <w:color w:val="000000" w:themeColor="text1"/>
          <w:sz w:val="20"/>
          <w:szCs w:val="20"/>
        </w:rPr>
        <w:t xml:space="preserve">Prévoir les blocs sanitaires en nombre suffisant car les élèves se rendent aux sanitaires durant les inter-court. </w:t>
      </w:r>
    </w:p>
    <w:p w14:paraId="27B15ED9" w14:textId="77777777" w:rsidR="00336D4A" w:rsidRPr="009B0DEC" w:rsidRDefault="00336D4A" w:rsidP="00336D4A">
      <w:pPr>
        <w:jc w:val="both"/>
        <w:rPr>
          <w:rFonts w:ascii="Verdana" w:hAnsi="Verdana"/>
          <w:color w:val="000000" w:themeColor="text1"/>
          <w:sz w:val="20"/>
          <w:szCs w:val="20"/>
        </w:rPr>
      </w:pPr>
      <w:r>
        <w:rPr>
          <w:rFonts w:ascii="Verdana" w:hAnsi="Verdana"/>
          <w:color w:val="000000" w:themeColor="text1"/>
          <w:sz w:val="20"/>
          <w:szCs w:val="20"/>
        </w:rPr>
        <w:t xml:space="preserve">Ce lieu est celui où il y a le plus de dégradations. Selon une enquête nationale, ce lieu est parfois peu utilisé par les élèves et provoque de l’inconfort au quotidien (harcèlement, accessibilité, manque d’intimité, …). Il convient donc de le concevoir correctement afin de garantir l’intimité des usagers, l’hygiène, la facilité d’entretien et de nettoyage, la lutte contre la dégradation. Une réflexion doit être </w:t>
      </w:r>
      <w:r w:rsidRPr="009B0DEC">
        <w:rPr>
          <w:rFonts w:ascii="Verdana" w:hAnsi="Verdana"/>
          <w:color w:val="000000" w:themeColor="text1"/>
          <w:sz w:val="20"/>
          <w:szCs w:val="20"/>
        </w:rPr>
        <w:t>menée au niveau de l’inclusion des élèves handicapés et non genrés.</w:t>
      </w:r>
    </w:p>
    <w:p w14:paraId="5A9066A0" w14:textId="77777777" w:rsidR="00336D4A" w:rsidRDefault="00336D4A" w:rsidP="00336D4A">
      <w:pPr>
        <w:rPr>
          <w:rFonts w:ascii="Verdana" w:hAnsi="Verdana"/>
          <w:sz w:val="20"/>
          <w:szCs w:val="20"/>
        </w:rPr>
      </w:pPr>
      <w:r>
        <w:rPr>
          <w:rFonts w:ascii="Verdana" w:hAnsi="Verdana"/>
          <w:sz w:val="20"/>
          <w:szCs w:val="20"/>
        </w:rPr>
        <w:t>Retour d’expérience</w:t>
      </w:r>
      <w:r w:rsidRPr="009B0DEC">
        <w:rPr>
          <w:rFonts w:ascii="Verdana" w:hAnsi="Verdana"/>
          <w:sz w:val="20"/>
          <w:szCs w:val="20"/>
        </w:rPr>
        <w:t> </w:t>
      </w:r>
      <w:r>
        <w:rPr>
          <w:rFonts w:ascii="Verdana" w:hAnsi="Verdana"/>
          <w:sz w:val="20"/>
          <w:szCs w:val="20"/>
        </w:rPr>
        <w:t>des responsables techniques de maintenance des lycées </w:t>
      </w:r>
      <w:r w:rsidRPr="009B0DEC">
        <w:rPr>
          <w:rFonts w:ascii="Verdana" w:hAnsi="Verdana"/>
          <w:sz w:val="20"/>
          <w:szCs w:val="20"/>
        </w:rPr>
        <w:t xml:space="preserve">: </w:t>
      </w:r>
    </w:p>
    <w:p w14:paraId="70BDE003" w14:textId="2F604296" w:rsidR="00336D4A" w:rsidRDefault="00336D4A" w:rsidP="00336D4A">
      <w:pPr>
        <w:pStyle w:val="Paragraphedeliste"/>
        <w:numPr>
          <w:ilvl w:val="0"/>
          <w:numId w:val="18"/>
        </w:numPr>
        <w:rPr>
          <w:rFonts w:ascii="Verdana" w:hAnsi="Verdana"/>
          <w:sz w:val="20"/>
          <w:szCs w:val="20"/>
        </w:rPr>
      </w:pPr>
      <w:r w:rsidRPr="009B0DEC">
        <w:rPr>
          <w:rFonts w:ascii="Verdana" w:hAnsi="Verdana"/>
          <w:sz w:val="20"/>
          <w:szCs w:val="20"/>
        </w:rPr>
        <w:t xml:space="preserve">Privilégier les petits blocs sanitaires avec peu de WC pour limiter le nombre de personne dans </w:t>
      </w:r>
      <w:r w:rsidR="00261D84">
        <w:rPr>
          <w:rFonts w:ascii="Verdana" w:hAnsi="Verdana"/>
          <w:sz w:val="20"/>
          <w:szCs w:val="20"/>
        </w:rPr>
        <w:t>u</w:t>
      </w:r>
      <w:bookmarkStart w:id="0" w:name="_GoBack"/>
      <w:bookmarkEnd w:id="0"/>
      <w:r w:rsidRPr="009B0DEC">
        <w:rPr>
          <w:rFonts w:ascii="Verdana" w:hAnsi="Verdana"/>
          <w:sz w:val="20"/>
          <w:szCs w:val="20"/>
        </w:rPr>
        <w:t>n bloc</w:t>
      </w:r>
    </w:p>
    <w:p w14:paraId="3F47D5C4" w14:textId="77777777" w:rsidR="00336D4A" w:rsidRDefault="00336D4A" w:rsidP="00336D4A">
      <w:pPr>
        <w:pStyle w:val="Paragraphedeliste"/>
        <w:numPr>
          <w:ilvl w:val="0"/>
          <w:numId w:val="18"/>
        </w:numPr>
        <w:rPr>
          <w:rFonts w:ascii="Verdana" w:hAnsi="Verdana"/>
          <w:sz w:val="20"/>
          <w:szCs w:val="20"/>
        </w:rPr>
      </w:pPr>
      <w:r>
        <w:rPr>
          <w:rFonts w:ascii="Verdana" w:hAnsi="Verdana"/>
          <w:sz w:val="20"/>
          <w:szCs w:val="20"/>
        </w:rPr>
        <w:t>Lorsque les sanitaires hommes sont bien séparés des sanitaires femmes (un bloc à chaque extrémité d’un couloir par exemple), il y a moins de dégradation</w:t>
      </w:r>
    </w:p>
    <w:p w14:paraId="41E091A6" w14:textId="5715190A" w:rsidR="00336D4A" w:rsidRPr="009B0DEC" w:rsidRDefault="00336D4A" w:rsidP="00336D4A">
      <w:pPr>
        <w:pStyle w:val="Paragraphedeliste"/>
        <w:numPr>
          <w:ilvl w:val="0"/>
          <w:numId w:val="18"/>
        </w:numPr>
        <w:rPr>
          <w:rFonts w:ascii="Verdana" w:hAnsi="Verdana"/>
          <w:sz w:val="20"/>
          <w:szCs w:val="20"/>
        </w:rPr>
      </w:pPr>
      <w:r>
        <w:rPr>
          <w:rFonts w:ascii="Verdana" w:hAnsi="Verdana"/>
          <w:sz w:val="20"/>
          <w:szCs w:val="20"/>
        </w:rPr>
        <w:t>Dans le cadre d'un plan de sobriété, les lavabos ne disposent que de l'eau froide.</w:t>
      </w:r>
    </w:p>
    <w:p w14:paraId="10D632D6" w14:textId="77777777" w:rsidR="00A42AB5" w:rsidRDefault="00A42AB5" w:rsidP="00336D4A">
      <w:pPr>
        <w:tabs>
          <w:tab w:val="left" w:pos="5529"/>
        </w:tabs>
        <w:rPr>
          <w:rFonts w:ascii="Verdana" w:eastAsia="Calibri" w:hAnsi="Verdana"/>
          <w:b/>
          <w:smallCaps/>
          <w:color w:val="145762"/>
        </w:rPr>
      </w:pPr>
    </w:p>
    <w:p w14:paraId="5F407827" w14:textId="0D4E5316" w:rsidR="00336D4A" w:rsidRPr="001972B1" w:rsidRDefault="00336D4A" w:rsidP="00336D4A">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474E4AC2" w14:textId="77777777" w:rsidR="00336D4A" w:rsidRPr="005D2597" w:rsidRDefault="00336D4A" w:rsidP="00336D4A">
      <w:pPr>
        <w:pStyle w:val="Paragraphedeliste"/>
        <w:numPr>
          <w:ilvl w:val="0"/>
          <w:numId w:val="2"/>
        </w:numPr>
        <w:rPr>
          <w:rFonts w:ascii="Verdana" w:hAnsi="Verdana"/>
          <w:sz w:val="20"/>
          <w:szCs w:val="20"/>
        </w:rPr>
      </w:pPr>
      <w:r>
        <w:rPr>
          <w:rFonts w:ascii="Verdana" w:hAnsi="Verdana"/>
          <w:color w:val="000000" w:themeColor="text1"/>
          <w:sz w:val="20"/>
          <w:szCs w:val="20"/>
        </w:rPr>
        <w:t>Intimité</w:t>
      </w:r>
    </w:p>
    <w:p w14:paraId="2196BF1B" w14:textId="77777777" w:rsidR="00336D4A" w:rsidRPr="005D2597" w:rsidRDefault="00336D4A" w:rsidP="00336D4A">
      <w:pPr>
        <w:pStyle w:val="Paragraphedeliste"/>
        <w:numPr>
          <w:ilvl w:val="0"/>
          <w:numId w:val="2"/>
        </w:numPr>
        <w:rPr>
          <w:rFonts w:ascii="Verdana" w:hAnsi="Verdana"/>
          <w:sz w:val="20"/>
          <w:szCs w:val="20"/>
        </w:rPr>
      </w:pPr>
      <w:r>
        <w:rPr>
          <w:rFonts w:ascii="Verdana" w:hAnsi="Verdana"/>
          <w:color w:val="000000" w:themeColor="text1"/>
          <w:sz w:val="20"/>
          <w:szCs w:val="20"/>
        </w:rPr>
        <w:t>Facilité de maintenance et entretien</w:t>
      </w:r>
    </w:p>
    <w:p w14:paraId="2F2E455A" w14:textId="77777777" w:rsidR="00336D4A" w:rsidRPr="008F69C8" w:rsidRDefault="00336D4A" w:rsidP="00336D4A">
      <w:pPr>
        <w:pStyle w:val="Paragraphedeliste"/>
        <w:numPr>
          <w:ilvl w:val="0"/>
          <w:numId w:val="2"/>
        </w:numPr>
        <w:rPr>
          <w:rFonts w:ascii="Verdana" w:hAnsi="Verdana"/>
          <w:sz w:val="20"/>
          <w:szCs w:val="20"/>
        </w:rPr>
      </w:pPr>
      <w:r>
        <w:rPr>
          <w:rFonts w:ascii="Verdana" w:hAnsi="Verdana"/>
          <w:color w:val="000000" w:themeColor="text1"/>
          <w:sz w:val="20"/>
          <w:szCs w:val="20"/>
        </w:rPr>
        <w:t>Dimensionner et positionner correctement dans l’établissement</w:t>
      </w:r>
    </w:p>
    <w:p w14:paraId="4749990D" w14:textId="77777777" w:rsidR="00A42AB5" w:rsidRDefault="00A42AB5" w:rsidP="00336D4A">
      <w:pPr>
        <w:tabs>
          <w:tab w:val="left" w:pos="5529"/>
        </w:tabs>
        <w:rPr>
          <w:rFonts w:ascii="Verdana" w:eastAsia="Calibri" w:hAnsi="Verdana"/>
          <w:b/>
          <w:smallCaps/>
          <w:color w:val="145762"/>
        </w:rPr>
      </w:pPr>
    </w:p>
    <w:p w14:paraId="1D275FAB" w14:textId="0468E5EE" w:rsidR="00336D4A" w:rsidRPr="001972B1" w:rsidRDefault="00336D4A" w:rsidP="00336D4A">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0A8DF206" w14:textId="77777777" w:rsidR="00336D4A" w:rsidRPr="001972B1" w:rsidRDefault="00336D4A" w:rsidP="00336D4A">
      <w:pPr>
        <w:rPr>
          <w:rFonts w:ascii="Verdana" w:hAnsi="Verdana"/>
          <w:sz w:val="20"/>
          <w:szCs w:val="20"/>
        </w:rPr>
      </w:pPr>
      <w:r w:rsidRPr="001972B1">
        <w:rPr>
          <w:rFonts w:ascii="Verdana" w:hAnsi="Verdana"/>
          <w:b/>
          <w:bCs/>
          <w:sz w:val="20"/>
          <w:szCs w:val="20"/>
        </w:rPr>
        <w:t>Surface théorique :</w:t>
      </w:r>
      <w:r w:rsidRPr="001972B1">
        <w:rPr>
          <w:rFonts w:ascii="Verdana" w:hAnsi="Verdana"/>
          <w:sz w:val="20"/>
          <w:szCs w:val="20"/>
        </w:rPr>
        <w:t xml:space="preserve"> </w:t>
      </w:r>
      <w:r>
        <w:rPr>
          <w:rFonts w:ascii="Verdana" w:eastAsia="Times New Roman" w:hAnsi="Verdana"/>
          <w:noProof/>
          <w:sz w:val="20"/>
          <w:szCs w:val="20"/>
          <w:lang w:eastAsia="fr-FR"/>
        </w:rPr>
        <w:t>En fonction de l’effectif</w:t>
      </w:r>
    </w:p>
    <w:p w14:paraId="028A8DED" w14:textId="77777777" w:rsidR="00336D4A" w:rsidRPr="001972B1" w:rsidRDefault="00336D4A" w:rsidP="00336D4A">
      <w:pPr>
        <w:rPr>
          <w:rFonts w:ascii="Verdana" w:hAnsi="Verdana"/>
          <w:noProof/>
          <w:sz w:val="20"/>
          <w:szCs w:val="20"/>
        </w:rPr>
      </w:pPr>
      <w:r w:rsidRPr="001972B1">
        <w:rPr>
          <w:rFonts w:ascii="Verdana" w:hAnsi="Verdana"/>
          <w:b/>
          <w:bCs/>
          <w:sz w:val="20"/>
          <w:szCs w:val="20"/>
        </w:rPr>
        <w:t xml:space="preserve">Capacité : </w:t>
      </w:r>
    </w:p>
    <w:p w14:paraId="187363FD" w14:textId="77777777" w:rsidR="00336D4A" w:rsidRPr="001972B1" w:rsidRDefault="00336D4A" w:rsidP="00336D4A">
      <w:pPr>
        <w:rPr>
          <w:rFonts w:ascii="Verdana" w:hAnsi="Verdana"/>
          <w:b/>
          <w:bCs/>
          <w:noProof/>
          <w:sz w:val="20"/>
          <w:szCs w:val="20"/>
        </w:rPr>
      </w:pPr>
      <w:r w:rsidRPr="001972B1">
        <w:rPr>
          <w:rFonts w:ascii="Verdana" w:hAnsi="Verdana"/>
          <w:b/>
          <w:bCs/>
          <w:noProof/>
          <w:sz w:val="20"/>
          <w:szCs w:val="20"/>
        </w:rPr>
        <w:t>Elements architecturaux :</w:t>
      </w:r>
    </w:p>
    <w:p w14:paraId="1DCF9ECE" w14:textId="3859104A" w:rsidR="00336D4A" w:rsidRDefault="00336D4A" w:rsidP="00336D4A">
      <w:pPr>
        <w:pStyle w:val="Paragraphedeliste"/>
        <w:numPr>
          <w:ilvl w:val="0"/>
          <w:numId w:val="1"/>
        </w:numPr>
        <w:rPr>
          <w:rFonts w:ascii="Verdana" w:hAnsi="Verdana"/>
          <w:sz w:val="20"/>
          <w:szCs w:val="20"/>
        </w:rPr>
      </w:pPr>
      <w:r>
        <w:rPr>
          <w:rFonts w:ascii="Verdana" w:hAnsi="Verdana"/>
          <w:sz w:val="20"/>
          <w:szCs w:val="20"/>
        </w:rPr>
        <w:t xml:space="preserve">Revêtements des sols, </w:t>
      </w:r>
      <w:r w:rsidR="00453162">
        <w:rPr>
          <w:rFonts w:ascii="Verdana" w:hAnsi="Verdana"/>
          <w:sz w:val="20"/>
          <w:szCs w:val="20"/>
        </w:rPr>
        <w:t>murs</w:t>
      </w:r>
      <w:r>
        <w:rPr>
          <w:rFonts w:ascii="Verdana" w:hAnsi="Verdana"/>
          <w:sz w:val="20"/>
          <w:szCs w:val="20"/>
        </w:rPr>
        <w:t xml:space="preserve"> et plafonds résistant à l’eau pour le lavage à grandes eaux</w:t>
      </w:r>
    </w:p>
    <w:p w14:paraId="410C10AA" w14:textId="77777777" w:rsidR="00336D4A" w:rsidRDefault="00336D4A" w:rsidP="00336D4A">
      <w:pPr>
        <w:pStyle w:val="Paragraphedeliste"/>
        <w:numPr>
          <w:ilvl w:val="0"/>
          <w:numId w:val="1"/>
        </w:numPr>
        <w:rPr>
          <w:rFonts w:ascii="Verdana" w:hAnsi="Verdana"/>
          <w:sz w:val="20"/>
          <w:szCs w:val="20"/>
        </w:rPr>
      </w:pPr>
      <w:r>
        <w:rPr>
          <w:rFonts w:ascii="Verdana" w:hAnsi="Verdana"/>
          <w:sz w:val="20"/>
          <w:szCs w:val="20"/>
        </w:rPr>
        <w:t>Facilité d’accès aux réseaux et équipements techniques</w:t>
      </w:r>
    </w:p>
    <w:p w14:paraId="06E81CB5" w14:textId="77777777" w:rsidR="00336D4A" w:rsidRDefault="00336D4A" w:rsidP="00336D4A">
      <w:pPr>
        <w:pStyle w:val="Paragraphedeliste"/>
        <w:numPr>
          <w:ilvl w:val="0"/>
          <w:numId w:val="1"/>
        </w:numPr>
        <w:rPr>
          <w:rFonts w:ascii="Verdana" w:hAnsi="Verdana"/>
          <w:sz w:val="20"/>
          <w:szCs w:val="20"/>
        </w:rPr>
      </w:pPr>
      <w:r>
        <w:rPr>
          <w:rFonts w:ascii="Verdana" w:hAnsi="Verdana"/>
          <w:sz w:val="20"/>
          <w:szCs w:val="20"/>
        </w:rPr>
        <w:t>Prévoir sanitaires PMR</w:t>
      </w:r>
    </w:p>
    <w:p w14:paraId="11A20228" w14:textId="77777777" w:rsidR="00336D4A" w:rsidRDefault="00336D4A" w:rsidP="00336D4A">
      <w:pPr>
        <w:pStyle w:val="Paragraphedeliste"/>
        <w:numPr>
          <w:ilvl w:val="0"/>
          <w:numId w:val="1"/>
        </w:numPr>
        <w:rPr>
          <w:rFonts w:ascii="Verdana" w:hAnsi="Verdana"/>
          <w:sz w:val="20"/>
          <w:szCs w:val="20"/>
        </w:rPr>
      </w:pPr>
      <w:r>
        <w:rPr>
          <w:rFonts w:ascii="Verdana" w:hAnsi="Verdana"/>
          <w:sz w:val="20"/>
          <w:szCs w:val="20"/>
        </w:rPr>
        <w:t>La hauteur des cloisons et portes doivent garantir l’intimité des usagers, et aussi permettre l’installation d’un flash sécurité incendie visible par tous les sanitaires, et également la facilité d’installer des détecteurs de présence pour l’éclairage</w:t>
      </w:r>
    </w:p>
    <w:p w14:paraId="0F396711" w14:textId="77777777" w:rsidR="00336D4A" w:rsidRPr="001972B1" w:rsidRDefault="00336D4A" w:rsidP="00336D4A">
      <w:pPr>
        <w:pStyle w:val="Paragraphedeliste"/>
        <w:rPr>
          <w:rFonts w:ascii="Verdana" w:hAnsi="Verdana"/>
          <w:sz w:val="20"/>
          <w:szCs w:val="20"/>
        </w:rPr>
      </w:pPr>
    </w:p>
    <w:p w14:paraId="2833A2F0" w14:textId="77777777" w:rsidR="00336D4A" w:rsidRPr="001972B1" w:rsidRDefault="00336D4A" w:rsidP="00336D4A">
      <w:pPr>
        <w:rPr>
          <w:rFonts w:ascii="Verdana" w:hAnsi="Verdana"/>
          <w:b/>
          <w:bCs/>
          <w:sz w:val="20"/>
          <w:szCs w:val="20"/>
        </w:rPr>
      </w:pPr>
      <w:r w:rsidRPr="001972B1">
        <w:rPr>
          <w:rFonts w:ascii="Verdana" w:hAnsi="Verdana"/>
          <w:b/>
          <w:bCs/>
          <w:sz w:val="20"/>
          <w:szCs w:val="20"/>
        </w:rPr>
        <w:t>Lien Fonctionnel :</w:t>
      </w:r>
    </w:p>
    <w:p w14:paraId="5FFE87A9" w14:textId="3E172C25" w:rsidR="00336D4A" w:rsidRDefault="00336D4A" w:rsidP="00336D4A">
      <w:pPr>
        <w:pStyle w:val="Paragraphedeliste"/>
        <w:numPr>
          <w:ilvl w:val="0"/>
          <w:numId w:val="12"/>
        </w:numPr>
        <w:rPr>
          <w:rFonts w:ascii="Verdana" w:hAnsi="Verdana"/>
          <w:sz w:val="20"/>
          <w:szCs w:val="20"/>
        </w:rPr>
      </w:pPr>
      <w:r>
        <w:rPr>
          <w:rFonts w:ascii="Verdana" w:hAnsi="Verdana"/>
          <w:sz w:val="20"/>
          <w:szCs w:val="20"/>
        </w:rPr>
        <w:t xml:space="preserve">Local ménage attenant pour </w:t>
      </w:r>
      <w:r w:rsidR="00453162">
        <w:rPr>
          <w:rFonts w:ascii="Verdana" w:hAnsi="Verdana"/>
          <w:sz w:val="20"/>
          <w:szCs w:val="20"/>
        </w:rPr>
        <w:t>faciliter</w:t>
      </w:r>
      <w:r>
        <w:rPr>
          <w:rFonts w:ascii="Verdana" w:hAnsi="Verdana"/>
          <w:sz w:val="20"/>
          <w:szCs w:val="20"/>
        </w:rPr>
        <w:t xml:space="preserve"> le nettoyage</w:t>
      </w:r>
    </w:p>
    <w:p w14:paraId="42A73A42" w14:textId="77777777" w:rsidR="00336D4A" w:rsidRDefault="00336D4A" w:rsidP="00336D4A">
      <w:pPr>
        <w:pStyle w:val="Paragraphedeliste"/>
        <w:numPr>
          <w:ilvl w:val="0"/>
          <w:numId w:val="12"/>
        </w:numPr>
        <w:rPr>
          <w:rFonts w:ascii="Verdana" w:hAnsi="Verdana"/>
          <w:sz w:val="20"/>
          <w:szCs w:val="20"/>
        </w:rPr>
      </w:pPr>
      <w:r>
        <w:rPr>
          <w:rFonts w:ascii="Verdana" w:hAnsi="Verdana"/>
          <w:sz w:val="20"/>
          <w:szCs w:val="20"/>
        </w:rPr>
        <w:t>Bonne répartition des sanitaires dans l’ensemble des espaces de l’établissement</w:t>
      </w:r>
    </w:p>
    <w:p w14:paraId="2472C3FB" w14:textId="77777777" w:rsidR="00336D4A" w:rsidRDefault="00336D4A" w:rsidP="00336D4A">
      <w:pPr>
        <w:pStyle w:val="Paragraphedeliste"/>
        <w:numPr>
          <w:ilvl w:val="0"/>
          <w:numId w:val="12"/>
        </w:numPr>
        <w:rPr>
          <w:rFonts w:ascii="Verdana" w:hAnsi="Verdana"/>
          <w:sz w:val="20"/>
          <w:szCs w:val="20"/>
        </w:rPr>
      </w:pPr>
      <w:r>
        <w:rPr>
          <w:rFonts w:ascii="Verdana" w:hAnsi="Verdana"/>
          <w:sz w:val="20"/>
          <w:szCs w:val="20"/>
        </w:rPr>
        <w:t>Calculer le temps de connexion entre les salles de classes, la restauration, le foyer et les sanitaires</w:t>
      </w:r>
    </w:p>
    <w:p w14:paraId="61D52B08" w14:textId="77777777" w:rsidR="00336D4A" w:rsidRPr="001972B1" w:rsidRDefault="00336D4A" w:rsidP="00336D4A">
      <w:pPr>
        <w:pStyle w:val="Paragraphedeliste"/>
        <w:numPr>
          <w:ilvl w:val="0"/>
          <w:numId w:val="12"/>
        </w:numPr>
        <w:rPr>
          <w:rFonts w:ascii="Verdana" w:hAnsi="Verdana"/>
          <w:sz w:val="20"/>
          <w:szCs w:val="20"/>
        </w:rPr>
      </w:pPr>
      <w:r>
        <w:rPr>
          <w:rFonts w:ascii="Verdana" w:hAnsi="Verdana"/>
          <w:sz w:val="20"/>
          <w:szCs w:val="20"/>
        </w:rPr>
        <w:t>Accès facilité depuis l’extérieur pour éviter que les élèves restent dans les bâtiments pendant les temps de récréation</w:t>
      </w:r>
    </w:p>
    <w:p w14:paraId="442B652A" w14:textId="10E2FE28" w:rsidR="00881636" w:rsidRPr="00C120D9" w:rsidRDefault="00881636" w:rsidP="00336D4A">
      <w:pPr>
        <w:tabs>
          <w:tab w:val="left" w:pos="5529"/>
        </w:tabs>
        <w:jc w:val="both"/>
        <w:rPr>
          <w:rFonts w:ascii="Verdana" w:hAnsi="Verdana"/>
        </w:rPr>
      </w:pPr>
    </w:p>
    <w:sectPr w:rsidR="00881636" w:rsidRPr="00C120D9" w:rsidSect="006001FC">
      <w:headerReference w:type="even" r:id="rId8"/>
      <w:headerReference w:type="default" r:id="rId9"/>
      <w:footerReference w:type="default" r:id="rId10"/>
      <w:headerReference w:type="first" r:id="rId11"/>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023AE3">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1BD30BA6"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D5425F">
                            <w:rPr>
                              <w:b/>
                              <w:bCs/>
                              <w:sz w:val="28"/>
                              <w:szCs w:val="28"/>
                            </w:rPr>
                            <w:t>9</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" adj="14430" fillcolor="#4b2278" strokecolor="#4b2278" strokeweight="1pt">
              <v:textbox style="layout-flow:vertical;mso-layout-flow-alt:bottom-to-top">
                <w:txbxContent>
                  <w:p w14:paraId="4A50AF3B" w14:textId="1BD30BA6"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D5425F">
                      <w:rPr>
                        <w:b/>
                        <w:bCs/>
                        <w:sz w:val="28"/>
                        <w:szCs w:val="28"/>
                      </w:rPr>
                      <w:t>9</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023AE3">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023AE3">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61A78"/>
    <w:multiLevelType w:val="hybridMultilevel"/>
    <w:tmpl w:val="3F9CA408"/>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953C7"/>
    <w:multiLevelType w:val="hybridMultilevel"/>
    <w:tmpl w:val="EEB8949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D0025C"/>
    <w:multiLevelType w:val="hybridMultilevel"/>
    <w:tmpl w:val="5C721978"/>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1472FA"/>
    <w:multiLevelType w:val="hybridMultilevel"/>
    <w:tmpl w:val="4C1899BE"/>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7E295A"/>
    <w:multiLevelType w:val="hybridMultilevel"/>
    <w:tmpl w:val="45D4651A"/>
    <w:lvl w:ilvl="0" w:tplc="79DA1796">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A60FAB"/>
    <w:multiLevelType w:val="hybridMultilevel"/>
    <w:tmpl w:val="D5944432"/>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1D7F81"/>
    <w:multiLevelType w:val="hybridMultilevel"/>
    <w:tmpl w:val="A356C020"/>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431469"/>
    <w:multiLevelType w:val="hybridMultilevel"/>
    <w:tmpl w:val="8EF24C2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5"/>
  </w:num>
  <w:num w:numId="4">
    <w:abstractNumId w:val="10"/>
  </w:num>
  <w:num w:numId="5">
    <w:abstractNumId w:val="8"/>
  </w:num>
  <w:num w:numId="6">
    <w:abstractNumId w:val="12"/>
  </w:num>
  <w:num w:numId="7">
    <w:abstractNumId w:val="13"/>
  </w:num>
  <w:num w:numId="8">
    <w:abstractNumId w:val="3"/>
  </w:num>
  <w:num w:numId="9">
    <w:abstractNumId w:val="2"/>
  </w:num>
  <w:num w:numId="10">
    <w:abstractNumId w:val="17"/>
  </w:num>
  <w:num w:numId="11">
    <w:abstractNumId w:val="6"/>
  </w:num>
  <w:num w:numId="12">
    <w:abstractNumId w:val="11"/>
  </w:num>
  <w:num w:numId="13">
    <w:abstractNumId w:val="1"/>
  </w:num>
  <w:num w:numId="14">
    <w:abstractNumId w:val="7"/>
  </w:num>
  <w:num w:numId="15">
    <w:abstractNumId w:val="0"/>
  </w:num>
  <w:num w:numId="16">
    <w:abstractNumId w:val="4"/>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0A6363"/>
    <w:rsid w:val="001236C8"/>
    <w:rsid w:val="00261D84"/>
    <w:rsid w:val="00330D53"/>
    <w:rsid w:val="00336D4A"/>
    <w:rsid w:val="00361632"/>
    <w:rsid w:val="00447BAD"/>
    <w:rsid w:val="00453162"/>
    <w:rsid w:val="00496730"/>
    <w:rsid w:val="006001FC"/>
    <w:rsid w:val="0066252B"/>
    <w:rsid w:val="006E11EA"/>
    <w:rsid w:val="006E6318"/>
    <w:rsid w:val="006F0974"/>
    <w:rsid w:val="007E7530"/>
    <w:rsid w:val="007F7209"/>
    <w:rsid w:val="00871D9C"/>
    <w:rsid w:val="00881636"/>
    <w:rsid w:val="008F009E"/>
    <w:rsid w:val="008F5D32"/>
    <w:rsid w:val="00923E4C"/>
    <w:rsid w:val="009510F4"/>
    <w:rsid w:val="009834B5"/>
    <w:rsid w:val="009F6684"/>
    <w:rsid w:val="00A04192"/>
    <w:rsid w:val="00A42AB5"/>
    <w:rsid w:val="00A72BFB"/>
    <w:rsid w:val="00AC3038"/>
    <w:rsid w:val="00B92705"/>
    <w:rsid w:val="00B94354"/>
    <w:rsid w:val="00BE0E67"/>
    <w:rsid w:val="00C120D9"/>
    <w:rsid w:val="00C15523"/>
    <w:rsid w:val="00CC6960"/>
    <w:rsid w:val="00D15DDE"/>
    <w:rsid w:val="00D5425F"/>
    <w:rsid w:val="00DE17AA"/>
    <w:rsid w:val="00DF22A1"/>
    <w:rsid w:val="00E01A55"/>
    <w:rsid w:val="00EB5C35"/>
    <w:rsid w:val="00FB1D4F"/>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 w:type="character" w:styleId="Lienhypertexte">
    <w:name w:val="Hyperlink"/>
    <w:basedOn w:val="Policepardfaut"/>
    <w:uiPriority w:val="99"/>
    <w:unhideWhenUsed/>
    <w:rsid w:val="00336D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ilcrah.fr/plan-national-dactions-pour-legalite-contre-la-haine-et-les-discriminations-anti-lgbt-2020-202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385</Words>
  <Characters>2118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7</cp:revision>
  <dcterms:created xsi:type="dcterms:W3CDTF">2022-09-07T15:21:00Z</dcterms:created>
  <dcterms:modified xsi:type="dcterms:W3CDTF">2022-12-05T13:48:00Z</dcterms:modified>
</cp:coreProperties>
</file>